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B5" w:rsidRDefault="00A74CB5"/>
    <w:p w:rsidR="00A74CB5" w:rsidRDefault="00A74C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8890</wp:posOffset>
                </wp:positionV>
                <wp:extent cx="4857750" cy="15049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CB5" w:rsidRPr="0047505B" w:rsidRDefault="00A74CB5" w:rsidP="00882D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882D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D’EXERCICE DU DROIT D’OPTION</w:t>
                            </w:r>
                          </w:p>
                          <w:p w:rsidR="001F308D" w:rsidRPr="0047505B" w:rsidRDefault="001F308D" w:rsidP="001F30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(Vu le décret n°2002-634 du 29 avril modifié ; vu l’arrêté ministériel en dat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du 28 juillet 2004 modifié ; v</w:t>
                            </w: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4750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rrêté du 28 août 2009 pris pour l’application du décret n° 2002-634 du 29 avril 2002 modifié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F308D" w:rsidRDefault="001F308D">
                            <w:pPr>
                              <w:rPr>
                                <w:b/>
                              </w:rPr>
                            </w:pPr>
                          </w:p>
                          <w:p w:rsidR="001F308D" w:rsidRDefault="00294720" w:rsidP="001F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REMPLIR UNIQUEMENT SI</w:t>
                            </w:r>
                            <w:r w:rsidR="00882D16"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CET › 15 JOURS </w:t>
                            </w:r>
                          </w:p>
                          <w:p w:rsidR="00882D16" w:rsidRPr="001F308D" w:rsidRDefault="00882D16" w:rsidP="001F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ET AVANT LE 1</w:t>
                            </w: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FEVRIER 202</w:t>
                            </w:r>
                            <w:r w:rsidR="00FC27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3.4pt;margin-top:.7pt;width:38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" fillcolor="white [3201]" stroked="f" strokeweight=".5pt">
                <v:textbox>
                  <w:txbxContent>
                    <w:p w:rsidR="00A74CB5" w:rsidRPr="0047505B" w:rsidRDefault="00A74CB5" w:rsidP="00882D1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DEMANDE </w:t>
                      </w:r>
                      <w:r w:rsidR="00882D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D’EXERCICE DU DROIT D’OPTION</w:t>
                      </w:r>
                    </w:p>
                    <w:p w:rsidR="001F308D" w:rsidRPr="0047505B" w:rsidRDefault="001F308D" w:rsidP="001F30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(Vu le décret n°2002-634 du 29 avril modifié ; vu l’arrêté ministériel en dat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 du 28 juillet 2004 modifié ; v</w:t>
                      </w: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u 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47505B">
                        <w:rPr>
                          <w:rFonts w:ascii="Arial" w:hAnsi="Arial" w:cs="Arial"/>
                          <w:sz w:val="20"/>
                          <w:szCs w:val="20"/>
                        </w:rPr>
                        <w:t>rrêté du 28 août 2009 pris pour l’application du décret n° 2002-634 du 29 avril 2002 modifié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1F308D" w:rsidRDefault="001F308D">
                      <w:pPr>
                        <w:rPr>
                          <w:b/>
                        </w:rPr>
                      </w:pPr>
                    </w:p>
                    <w:p w:rsidR="001F308D" w:rsidRDefault="00294720" w:rsidP="001F308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REMPLIR UNIQUEMENT SI</w:t>
                      </w:r>
                      <w:r w:rsidR="00882D16"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CET › 15 JOURS </w:t>
                      </w:r>
                    </w:p>
                    <w:p w:rsidR="00882D16" w:rsidRPr="001F308D" w:rsidRDefault="00882D16" w:rsidP="001F308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 AVANT LE 1</w:t>
                      </w: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FEVRIER 202</w:t>
                      </w:r>
                      <w:r w:rsidR="00FC27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164023" w:rsidRDefault="00FC277D"/>
    <w:p w:rsidR="00A74CB5" w:rsidRDefault="00A74CB5" w:rsidP="00A74CB5">
      <w:pPr>
        <w:tabs>
          <w:tab w:val="left" w:pos="5760"/>
        </w:tabs>
        <w:spacing w:before="221" w:after="0" w:line="225" w:lineRule="exact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1424DB" w:rsidRDefault="00A74CB5" w:rsidP="00163668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42229C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>Demande le versement de jours de congés non pr</w:t>
      </w:r>
      <w:r w:rsidR="00882D16">
        <w:rPr>
          <w:rFonts w:ascii="Arial" w:eastAsia="Arial" w:hAnsi="Arial" w:cs="Times New Roman"/>
          <w:b/>
          <w:color w:val="000000"/>
          <w:sz w:val="20"/>
        </w:rPr>
        <w:t>is sur son compte épargne-temps.</w:t>
      </w:r>
    </w:p>
    <w:p w:rsidR="00163668" w:rsidRPr="00294720" w:rsidRDefault="00294720" w:rsidP="00163668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1"/>
          <w:sz w:val="20"/>
        </w:rPr>
      </w:pPr>
      <w:r w:rsidRPr="00294720">
        <w:rPr>
          <w:rFonts w:ascii="Arial" w:eastAsia="Arial" w:hAnsi="Arial" w:cs="Times New Roman"/>
          <w:b/>
          <w:color w:val="000000"/>
          <w:sz w:val="20"/>
        </w:rPr>
        <w:t>Année de référence concernée 20</w:t>
      </w:r>
      <w:r w:rsidR="00FC277D">
        <w:rPr>
          <w:rFonts w:ascii="Arial" w:eastAsia="Arial" w:hAnsi="Arial" w:cs="Times New Roman"/>
          <w:b/>
          <w:color w:val="000000"/>
          <w:sz w:val="20"/>
        </w:rPr>
        <w:t>21</w:t>
      </w:r>
      <w:r w:rsidRPr="00294720">
        <w:rPr>
          <w:rFonts w:ascii="Arial" w:eastAsia="Arial" w:hAnsi="Arial" w:cs="Times New Roman"/>
          <w:b/>
          <w:color w:val="000000"/>
          <w:sz w:val="20"/>
        </w:rPr>
        <w:t>/20</w:t>
      </w:r>
      <w:r w:rsidR="00FC277D">
        <w:rPr>
          <w:rFonts w:ascii="Arial" w:eastAsia="Arial" w:hAnsi="Arial" w:cs="Times New Roman"/>
          <w:b/>
          <w:color w:val="000000"/>
          <w:sz w:val="20"/>
        </w:rPr>
        <w:t>22</w:t>
      </w:r>
      <w:bookmarkStart w:id="0" w:name="_GoBack"/>
      <w:bookmarkEnd w:id="0"/>
    </w:p>
    <w:p w:rsidR="00882D16" w:rsidRPr="00882D16" w:rsidRDefault="00882D16" w:rsidP="00163668">
      <w:pPr>
        <w:spacing w:before="129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882D16">
        <w:rPr>
          <w:rFonts w:ascii="Arial" w:eastAsia="Arial" w:hAnsi="Arial" w:cs="Times New Roman"/>
          <w:color w:val="000000"/>
          <w:sz w:val="20"/>
        </w:rPr>
        <w:t>Solde du CET avant versement</w:t>
      </w:r>
      <w:r>
        <w:rPr>
          <w:rFonts w:ascii="Arial" w:eastAsia="Arial" w:hAnsi="Arial" w:cs="Times New Roman"/>
          <w:color w:val="000000"/>
          <w:sz w:val="20"/>
        </w:rPr>
        <w:t xml:space="preserve"> </w:t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Pr="00882D16">
        <w:rPr>
          <w:rFonts w:ascii="Arial" w:eastAsia="Arial" w:hAnsi="Arial" w:cs="Times New Roman"/>
          <w:color w:val="000000"/>
          <w:sz w:val="20"/>
        </w:rPr>
        <w:t>Solde du CET après versement</w:t>
      </w:r>
    </w:p>
    <w:p w:rsidR="00882D16" w:rsidRPr="00882D16" w:rsidRDefault="00163668" w:rsidP="00163668">
      <w:pPr>
        <w:spacing w:after="556" w:line="225" w:lineRule="exact"/>
        <w:ind w:left="72"/>
        <w:textAlignment w:val="baseline"/>
        <w:rPr>
          <w:rFonts w:ascii="Arial" w:eastAsia="Arial" w:hAnsi="Arial" w:cs="Times New Roman"/>
          <w:b/>
          <w:color w:val="000000"/>
          <w:spacing w:val="-1"/>
          <w:sz w:val="20"/>
        </w:rPr>
      </w:pPr>
      <w:r w:rsidRPr="00163668">
        <w:rPr>
          <w:rFonts w:ascii="Arial" w:eastAsia="Arial" w:hAnsi="Arial" w:cs="Arial"/>
          <w:noProof/>
          <w:color w:val="000000"/>
          <w:spacing w:val="-7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1840230</wp:posOffset>
                </wp:positionV>
                <wp:extent cx="6753225" cy="1404620"/>
                <wp:effectExtent l="0" t="0" r="9525" b="76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68" w:rsidRPr="00FB7EC1" w:rsidRDefault="00163668" w:rsidP="00FB7EC1">
                            <w:pPr>
                              <w:spacing w:after="0" w:line="360" w:lineRule="auto"/>
                              <w:ind w:left="72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</w:pPr>
                            <w:r w:rsidRP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>RAFP : retraite additionnelle de la fonction publique (décret n°2004-569 du 18 juin 2004)</w:t>
                            </w:r>
                          </w:p>
                          <w:p w:rsidR="00163668" w:rsidRPr="00FB7EC1" w:rsidRDefault="00163668" w:rsidP="00FB7EC1">
                            <w:pPr>
                              <w:spacing w:after="0" w:line="360" w:lineRule="auto"/>
                              <w:ind w:left="72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</w:pPr>
                            <w:r w:rsidRP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 xml:space="preserve">Nombre de congés à maintenir sur le CET : dans la limite de </w:t>
                            </w:r>
                            <w:r w:rsid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>10</w:t>
                            </w:r>
                            <w:r w:rsidRP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 xml:space="preserve"> jours et de </w:t>
                            </w:r>
                            <w:r w:rsid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>60</w:t>
                            </w:r>
                            <w:r w:rsidRP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 xml:space="preserve"> jours pour le total du compte</w:t>
                            </w:r>
                            <w:r w:rsidR="00D9714E" w:rsidRPr="00FB7EC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3.35pt;margin-top:144.9pt;width:53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" stroked="f">
                <v:textbox style="mso-fit-shape-to-text:t">
                  <w:txbxContent>
                    <w:p w:rsidR="00163668" w:rsidRPr="00FB7EC1" w:rsidRDefault="00163668" w:rsidP="00FB7EC1">
                      <w:pPr>
                        <w:spacing w:after="0" w:line="360" w:lineRule="auto"/>
                        <w:ind w:left="72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</w:pPr>
                      <w:r w:rsidRP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>RAFP : retraite additionnelle de la fonction publique (décret n°2004-569 du 18 juin 2004)</w:t>
                      </w:r>
                    </w:p>
                    <w:p w:rsidR="00163668" w:rsidRPr="00FB7EC1" w:rsidRDefault="00163668" w:rsidP="00FB7EC1">
                      <w:pPr>
                        <w:spacing w:after="0" w:line="360" w:lineRule="auto"/>
                        <w:ind w:left="72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</w:pPr>
                      <w:r w:rsidRP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 xml:space="preserve">Nombre de congés à maintenir sur le CET : dans la limite de </w:t>
                      </w:r>
                      <w:r w:rsid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>10</w:t>
                      </w:r>
                      <w:r w:rsidRP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 xml:space="preserve"> jours et de </w:t>
                      </w:r>
                      <w:r w:rsid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>60</w:t>
                      </w:r>
                      <w:r w:rsidRP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 xml:space="preserve"> jours pour le total du compte</w:t>
                      </w:r>
                      <w:r w:rsidR="00D9714E" w:rsidRPr="00FB7EC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82D16" w:rsidRPr="00163668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61BA85" wp14:editId="393D67B8">
                <wp:simplePos x="0" y="0"/>
                <wp:positionH relativeFrom="column">
                  <wp:posOffset>5572125</wp:posOffset>
                </wp:positionH>
                <wp:positionV relativeFrom="paragraph">
                  <wp:posOffset>26670</wp:posOffset>
                </wp:positionV>
                <wp:extent cx="552450" cy="38100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16" w:rsidRDefault="00882D16" w:rsidP="00882D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BA85" id="_x0000_s1028" type="#_x0000_t202" style="position:absolute;left:0;text-align:left;margin-left:438.75pt;margin-top:2.1pt;width:43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">
                <v:textbox>
                  <w:txbxContent>
                    <w:p w:rsidR="00882D16" w:rsidRDefault="00882D16" w:rsidP="00882D16"/>
                  </w:txbxContent>
                </v:textbox>
                <w10:wrap type="square"/>
              </v:shape>
            </w:pict>
          </mc:Fallback>
        </mc:AlternateContent>
      </w:r>
      <w:r w:rsidR="00882D16" w:rsidRPr="00163668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9525</wp:posOffset>
                </wp:positionV>
                <wp:extent cx="552450" cy="381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16" w:rsidRDefault="00882D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8.65pt;margin-top:.75pt;width:43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">
                <v:textbox>
                  <w:txbxContent>
                    <w:p w:rsidR="00882D16" w:rsidRDefault="00882D16"/>
                  </w:txbxContent>
                </v:textbox>
                <w10:wrap type="square"/>
              </v:shape>
            </w:pict>
          </mc:Fallback>
        </mc:AlternateContent>
      </w:r>
      <w:r w:rsidR="00882D16" w:rsidRPr="00882D16">
        <w:rPr>
          <w:rFonts w:ascii="Arial" w:eastAsia="Arial" w:hAnsi="Arial" w:cs="Times New Roman"/>
          <w:color w:val="000000"/>
          <w:spacing w:val="-1"/>
          <w:sz w:val="20"/>
        </w:rPr>
        <w:t>(A</w:t>
      </w:r>
      <w:r w:rsidR="00882D16" w:rsidRPr="00882D16">
        <w:rPr>
          <w:rFonts w:ascii="Arial" w:eastAsia="Arial" w:hAnsi="Arial" w:cs="Times New Roman"/>
          <w:b/>
          <w:color w:val="000000"/>
          <w:spacing w:val="-1"/>
          <w:sz w:val="20"/>
        </w:rPr>
        <w:t xml:space="preserve"> </w:t>
      </w:r>
      <w:r w:rsidR="00882D16" w:rsidRPr="00882D16">
        <w:rPr>
          <w:rFonts w:ascii="Arial" w:eastAsia="Arial" w:hAnsi="Arial" w:cs="Times New Roman"/>
          <w:color w:val="000000"/>
          <w:spacing w:val="-1"/>
          <w:sz w:val="20"/>
        </w:rPr>
        <w:t>de l</w:t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 xml:space="preserve">'annexe 2) </w:t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 xml:space="preserve">(G de l'annexe 2) </w:t>
      </w:r>
    </w:p>
    <w:tbl>
      <w:tblPr>
        <w:tblW w:w="1069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967"/>
        <w:gridCol w:w="1987"/>
        <w:gridCol w:w="3062"/>
      </w:tblGrid>
      <w:tr w:rsidR="00882D16" w:rsidRPr="00882D16" w:rsidTr="00882D16">
        <w:trPr>
          <w:trHeight w:hRule="exact" w:val="384"/>
        </w:trPr>
        <w:tc>
          <w:tcPr>
            <w:tcW w:w="10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  <w:vAlign w:val="center"/>
          </w:tcPr>
          <w:p w:rsidR="00882D16" w:rsidRPr="00882D16" w:rsidRDefault="00882D16" w:rsidP="00882D16">
            <w:pPr>
              <w:spacing w:before="79" w:after="71" w:line="22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Droit d'option pour les jours dépassant le seuil de </w:t>
            </w:r>
            <w:r w:rsidRPr="00A375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jours (G &gt; </w:t>
            </w:r>
            <w:r w:rsidRPr="00A375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dans les proportions que souhaite l'agent</w:t>
            </w:r>
          </w:p>
        </w:tc>
      </w:tr>
      <w:tr w:rsidR="00882D16" w:rsidRPr="00882D16" w:rsidTr="00882D16">
        <w:trPr>
          <w:trHeight w:hRule="exact" w:val="1046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A375A9">
            <w:pPr>
              <w:spacing w:after="113" w:line="22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Nombre de jours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 xml:space="preserve">dépassant le seuil de </w:t>
            </w:r>
            <w:r w:rsidR="00A375A9" w:rsidRPr="00A375A9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 xml:space="preserve">jours (H)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>H=G-</w:t>
            </w:r>
            <w:r w:rsidR="00A375A9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15</w:t>
            </w:r>
            <w:r w:rsidR="0042229C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=I+J+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K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A375A9">
            <w:pPr>
              <w:spacing w:after="139" w:line="220" w:lineRule="exact"/>
              <w:ind w:left="20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Nombre de jours à prendre en compte au titre du RAFP</w:t>
            </w:r>
            <w:r w:rsidR="00A375A9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(uniquement pour les agents titulaires) (I)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576" w:line="223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de jours à </w:t>
            </w: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indemniser (J)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32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Nombre de jours à maintenir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>sur le CET pour une utilisation</w:t>
            </w:r>
          </w:p>
          <w:p w:rsidR="00882D16" w:rsidRPr="00882D16" w:rsidRDefault="00A375A9" w:rsidP="00882D16">
            <w:pPr>
              <w:tabs>
                <w:tab w:val="left" w:pos="2520"/>
              </w:tabs>
              <w:spacing w:before="1" w:after="0" w:line="225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sous</w:t>
            </w:r>
            <w:proofErr w:type="gramEnd"/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forme de congés </w:t>
            </w:r>
            <w:r w:rsidR="00882D16"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(K)</w:t>
            </w:r>
          </w:p>
          <w:p w:rsidR="00882D16" w:rsidRPr="00882D16" w:rsidRDefault="00882D16" w:rsidP="00882D16">
            <w:pPr>
              <w:spacing w:before="75" w:after="43" w:line="225" w:lineRule="exact"/>
              <w:ind w:right="1106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82D16" w:rsidRPr="00882D16" w:rsidTr="00882D16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63668" w:rsidRPr="00882D16" w:rsidRDefault="00163668" w:rsidP="00163668">
      <w:pPr>
        <w:spacing w:after="258" w:line="20" w:lineRule="exact"/>
        <w:jc w:val="both"/>
        <w:rPr>
          <w:rFonts w:ascii="Arial" w:eastAsia="Arial" w:hAnsi="Arial" w:cs="Arial"/>
          <w:color w:val="000000"/>
          <w:spacing w:val="-7"/>
          <w:sz w:val="20"/>
          <w:szCs w:val="20"/>
        </w:rPr>
      </w:pPr>
    </w:p>
    <w:tbl>
      <w:tblPr>
        <w:tblStyle w:val="Grilledutableau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92"/>
      </w:tblGrid>
      <w:tr w:rsidR="00A375A9" w:rsidTr="00163668">
        <w:tc>
          <w:tcPr>
            <w:tcW w:w="5103" w:type="dxa"/>
          </w:tcPr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Lieu et date de la demande : </w:t>
            </w: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Signature : </w:t>
            </w: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F02555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Visa et avis du supérieur hiérarchique :</w:t>
            </w:r>
          </w:p>
        </w:tc>
        <w:tc>
          <w:tcPr>
            <w:tcW w:w="5392" w:type="dxa"/>
          </w:tcPr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951AE88" wp14:editId="3DA1584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81915</wp:posOffset>
                      </wp:positionV>
                      <wp:extent cx="466725" cy="36195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A9" w:rsidRDefault="00A375A9" w:rsidP="00A375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AE88" id="_x0000_s1030" type="#_x0000_t202" style="position:absolute;margin-left:172.45pt;margin-top:6.45pt;width:36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">
                      <v:textbox>
                        <w:txbxContent>
                          <w:p w:rsidR="00A375A9" w:rsidRDefault="00A375A9" w:rsidP="00A375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Solde du CET après </w:t>
            </w:r>
            <w:r w:rsidR="00163668">
              <w:rPr>
                <w:rFonts w:ascii="Arial" w:eastAsia="Arial" w:hAnsi="Arial" w:cs="Times New Roman"/>
                <w:color w:val="000000"/>
                <w:sz w:val="20"/>
              </w:rPr>
              <w:t>option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(</w:t>
            </w:r>
            <w:r w:rsidR="00163668">
              <w:rPr>
                <w:rFonts w:ascii="Arial" w:eastAsia="Arial" w:hAnsi="Arial" w:cs="Times New Roman"/>
                <w:color w:val="000000"/>
                <w:sz w:val="20"/>
              </w:rPr>
              <w:t>L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)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</w:p>
          <w:p w:rsidR="00163668" w:rsidRDefault="00163668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>L</w:t>
            </w:r>
            <w:r w:rsidR="00A375A9"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= 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15</w:t>
            </w:r>
            <w:r w:rsidR="00A375A9"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+ 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K</w:t>
            </w:r>
          </w:p>
          <w:p w:rsidR="00A375A9" w:rsidRDefault="00163668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  <w:r w:rsidR="002F657E">
              <w:rPr>
                <w:rFonts w:ascii="Arial" w:eastAsia="Arial" w:hAnsi="Arial" w:cs="Times New Roman"/>
                <w:color w:val="000000"/>
                <w:sz w:val="20"/>
              </w:rPr>
              <w:t>6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0 jours</w:t>
            </w:r>
            <w:r w:rsidR="00A375A9"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 xml:space="preserve"> </w:t>
            </w: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</w:tbl>
    <w:p w:rsidR="00A74CB5" w:rsidRDefault="00A74CB5" w:rsidP="00163668">
      <w:pPr>
        <w:spacing w:before="1" w:after="0" w:line="226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</w:p>
    <w:sectPr w:rsidR="00A74C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D9714E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-638175</wp:posOffset>
          </wp:positionH>
          <wp:positionV relativeFrom="margin">
            <wp:posOffset>-622935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</w:t>
    </w:r>
    <w:r w:rsidR="009F4415">
      <w:rPr>
        <w:b/>
      </w:rPr>
      <w:t>nnexe 3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1424DB"/>
    <w:rsid w:val="00163668"/>
    <w:rsid w:val="001F308D"/>
    <w:rsid w:val="00294720"/>
    <w:rsid w:val="002F3704"/>
    <w:rsid w:val="002F657E"/>
    <w:rsid w:val="003F0A1F"/>
    <w:rsid w:val="0042229C"/>
    <w:rsid w:val="0047505B"/>
    <w:rsid w:val="005202BA"/>
    <w:rsid w:val="006E1B5E"/>
    <w:rsid w:val="00782FD0"/>
    <w:rsid w:val="00882D16"/>
    <w:rsid w:val="009F4415"/>
    <w:rsid w:val="00A375A9"/>
    <w:rsid w:val="00A74CB5"/>
    <w:rsid w:val="00D9714E"/>
    <w:rsid w:val="00DC2977"/>
    <w:rsid w:val="00F02555"/>
    <w:rsid w:val="00F87BC2"/>
    <w:rsid w:val="00FB7EC1"/>
    <w:rsid w:val="00FC277D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0835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table" w:styleId="Grilledutableau">
    <w:name w:val="Table Grid"/>
    <w:basedOn w:val="TableauNormal"/>
    <w:uiPriority w:val="39"/>
    <w:rsid w:val="00A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mtouimi-benjelloun</cp:lastModifiedBy>
  <cp:revision>13</cp:revision>
  <dcterms:created xsi:type="dcterms:W3CDTF">2019-09-23T06:34:00Z</dcterms:created>
  <dcterms:modified xsi:type="dcterms:W3CDTF">2022-10-04T10:15:00Z</dcterms:modified>
</cp:coreProperties>
</file>